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931A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7E63FDE" wp14:editId="172CEDB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A160B2" w14:paraId="11D72DF6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6935246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666A29EC" w14:textId="1CC4D19B" w:rsidR="00A160B2" w:rsidRPr="008658CB" w:rsidRDefault="008658CB" w:rsidP="006C3150">
            <w:pPr>
              <w:pStyle w:val="Heading1"/>
              <w:outlineLvl w:val="0"/>
            </w:pPr>
            <w:r>
              <w:t xml:space="preserve">Pension </w:t>
            </w:r>
            <w:r w:rsidR="00F40FD8">
              <w:t>Board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6314F551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70AE713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484F79ED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2C055184" w14:textId="20474512" w:rsidR="00A160B2" w:rsidRDefault="008658C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40FD8">
              <w:rPr>
                <w:rFonts w:cs="Arial"/>
              </w:rPr>
              <w:t xml:space="preserve"> Decemb</w:t>
            </w:r>
            <w:r>
              <w:rPr>
                <w:rFonts w:cs="Arial"/>
              </w:rPr>
              <w:t>er 2020</w:t>
            </w:r>
          </w:p>
        </w:tc>
      </w:tr>
      <w:tr w:rsidR="00A160B2" w14:paraId="76BB05F7" w14:textId="77777777" w:rsidTr="006C3150">
        <w:tc>
          <w:tcPr>
            <w:tcW w:w="3456" w:type="dxa"/>
          </w:tcPr>
          <w:p w14:paraId="3613FF6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3839667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C89189E" w14:textId="77777777" w:rsidR="002D3381" w:rsidRPr="00B93430" w:rsidRDefault="002D3381" w:rsidP="002D3381">
            <w:pPr>
              <w:rPr>
                <w:rFonts w:cs="Arial"/>
                <w:bCs/>
                <w:sz w:val="28"/>
              </w:rPr>
            </w:pPr>
            <w:r w:rsidRPr="00B93430">
              <w:rPr>
                <w:rFonts w:cs="Arial"/>
                <w:bCs/>
                <w:sz w:val="28"/>
              </w:rPr>
              <w:t>Pension Board Work Programme</w:t>
            </w:r>
          </w:p>
          <w:p w14:paraId="0D1B98A1" w14:textId="203FDB0C" w:rsidR="00A160B2" w:rsidRDefault="002D3381" w:rsidP="002D3381">
            <w:pPr>
              <w:pStyle w:val="Infotext"/>
              <w:rPr>
                <w:rFonts w:cs="Arial"/>
              </w:rPr>
            </w:pPr>
            <w:r>
              <w:rPr>
                <w:rFonts w:cs="Arial"/>
                <w:bCs/>
              </w:rPr>
              <w:t>For Future Meetings</w:t>
            </w:r>
          </w:p>
        </w:tc>
      </w:tr>
      <w:tr w:rsidR="00A160B2" w14:paraId="531E6E53" w14:textId="77777777" w:rsidTr="006C3150">
        <w:tc>
          <w:tcPr>
            <w:tcW w:w="3456" w:type="dxa"/>
          </w:tcPr>
          <w:p w14:paraId="7FE0DEB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E35B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1EF1F05" w14:textId="0A53066A" w:rsidR="00A160B2" w:rsidRDefault="008658C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D85DA8F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D741C83" w14:textId="77777777" w:rsidTr="006C3150">
        <w:tc>
          <w:tcPr>
            <w:tcW w:w="3456" w:type="dxa"/>
          </w:tcPr>
          <w:p w14:paraId="517B3FD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004D0535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25CD7D86" w14:textId="2E29CEE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7E311EB6" w14:textId="77777777" w:rsidR="00A160B2" w:rsidRDefault="00A160B2" w:rsidP="008658CB">
            <w:pPr>
              <w:pStyle w:val="Infotext"/>
              <w:rPr>
                <w:rFonts w:cs="Arial"/>
              </w:rPr>
            </w:pPr>
          </w:p>
        </w:tc>
      </w:tr>
      <w:tr w:rsidR="00A160B2" w14:paraId="57E80FA9" w14:textId="77777777" w:rsidTr="006C3150">
        <w:tc>
          <w:tcPr>
            <w:tcW w:w="3456" w:type="dxa"/>
          </w:tcPr>
          <w:p w14:paraId="2A7692C0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21E89C5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6AFF8C8" w14:textId="4AD4E088" w:rsidR="00A160B2" w:rsidRPr="00485E8D" w:rsidRDefault="008658CB" w:rsidP="006C3150">
            <w:pPr>
              <w:pStyle w:val="Infotext"/>
              <w:rPr>
                <w:bCs/>
              </w:rPr>
            </w:pPr>
            <w:r w:rsidRPr="00485E8D">
              <w:rPr>
                <w:bCs/>
              </w:rPr>
              <w:t>All</w:t>
            </w:r>
          </w:p>
        </w:tc>
      </w:tr>
      <w:tr w:rsidR="00A160B2" w14:paraId="7F2E4E91" w14:textId="77777777" w:rsidTr="006C3150">
        <w:tc>
          <w:tcPr>
            <w:tcW w:w="3456" w:type="dxa"/>
          </w:tcPr>
          <w:p w14:paraId="2B3C773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49B6D6B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9E69D53" w14:textId="195F6FE4" w:rsidR="00A61BB7" w:rsidRDefault="002D3381" w:rsidP="006C3150">
            <w:pPr>
              <w:pStyle w:val="Infotext"/>
            </w:pPr>
            <w:r>
              <w:t>None</w:t>
            </w:r>
          </w:p>
        </w:tc>
      </w:tr>
    </w:tbl>
    <w:p w14:paraId="678DFAAC" w14:textId="77777777" w:rsidR="00A1511A" w:rsidRDefault="00A15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525"/>
      </w:tblGrid>
      <w:tr w:rsidR="00A160B2" w14:paraId="693DD40E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BFE1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9EFEE84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03FD1B92" w14:textId="7E8E4994" w:rsidR="00A160B2" w:rsidRPr="008658CB" w:rsidRDefault="008658CB" w:rsidP="00A160B2">
            <w:r w:rsidRPr="008658CB">
              <w:t xml:space="preserve">This </w:t>
            </w:r>
            <w:r w:rsidR="002D3381" w:rsidRPr="00151033">
              <w:t>report</w:t>
            </w:r>
            <w:r w:rsidR="002D3381">
              <w:t xml:space="preserve"> reviews the Pension Board’s work to date and invites the Board to comment on a suggested work programme for the remainder of 2020-21.</w:t>
            </w:r>
          </w:p>
          <w:p w14:paraId="201762EB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3C3A91A9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7CACB8E" w14:textId="29B12733" w:rsidR="00A160B2" w:rsidRDefault="00A160B2" w:rsidP="002D3381">
            <w:r>
              <w:t xml:space="preserve">The </w:t>
            </w:r>
            <w:r w:rsidR="002D3381">
              <w:t>Board is requested to note the report and comment on the proposed work programme</w:t>
            </w:r>
            <w:r w:rsidR="007D20F8" w:rsidRPr="002D3381">
              <w:rPr>
                <w:szCs w:val="24"/>
              </w:rPr>
              <w:t>.</w:t>
            </w:r>
            <w:r w:rsidR="008658CB">
              <w:t xml:space="preserve"> </w:t>
            </w:r>
          </w:p>
        </w:tc>
      </w:tr>
    </w:tbl>
    <w:p w14:paraId="249DEEF5" w14:textId="77777777" w:rsidR="002A2389" w:rsidRPr="00A1511A" w:rsidRDefault="002A2389" w:rsidP="00A160B2">
      <w:pPr>
        <w:pStyle w:val="Heading2"/>
      </w:pPr>
      <w:r w:rsidRPr="00A1511A">
        <w:t>Section 2 – Report</w:t>
      </w:r>
    </w:p>
    <w:p w14:paraId="50D0653C" w14:textId="0DEDE284" w:rsidR="008658CB" w:rsidRPr="00A61BB7" w:rsidRDefault="008658CB" w:rsidP="00A61BB7">
      <w:pPr>
        <w:pStyle w:val="ListParagraph"/>
        <w:rPr>
          <w:b/>
          <w:bCs/>
          <w:color w:val="0000FF"/>
          <w:sz w:val="24"/>
          <w:szCs w:val="24"/>
          <w:u w:val="single"/>
        </w:rPr>
      </w:pPr>
    </w:p>
    <w:p w14:paraId="7BE87FDA" w14:textId="39D4CD8E" w:rsidR="002D3381" w:rsidRDefault="002D3381" w:rsidP="00A1511A">
      <w:pPr>
        <w:numPr>
          <w:ilvl w:val="0"/>
          <w:numId w:val="16"/>
        </w:numPr>
      </w:pPr>
      <w:r>
        <w:t xml:space="preserve">The </w:t>
      </w:r>
      <w:r w:rsidRPr="00017DDA">
        <w:t>Pension Board</w:t>
      </w:r>
      <w:r>
        <w:t xml:space="preserve"> meets</w:t>
      </w:r>
      <w:r w:rsidRPr="00017DDA">
        <w:t xml:space="preserve"> quarterly. </w:t>
      </w:r>
      <w:r>
        <w:t xml:space="preserve"> Its work in 2020 to date has been disrupted by the Covid-19 pandemic, such that this only is the Board’s second meeting since January 2020. At its meeting on 17 September 2020, the Board agreed a work programme for the remainder of the 2020-21 municipal year. </w:t>
      </w:r>
    </w:p>
    <w:p w14:paraId="217DB6A6" w14:textId="77777777" w:rsidR="002D3381" w:rsidRDefault="002D3381" w:rsidP="002D3381">
      <w:pPr>
        <w:ind w:left="709"/>
        <w:jc w:val="both"/>
      </w:pPr>
    </w:p>
    <w:p w14:paraId="6ED4B9DF" w14:textId="370A65BF" w:rsidR="002D3381" w:rsidRDefault="002D3381" w:rsidP="00A1511A">
      <w:pPr>
        <w:numPr>
          <w:ilvl w:val="0"/>
          <w:numId w:val="16"/>
        </w:numPr>
      </w:pPr>
      <w:r>
        <w:t xml:space="preserve">A suggested work programme for the remainder of 2020-2021, </w:t>
      </w:r>
      <w:r w:rsidR="00DE2CEC">
        <w:t xml:space="preserve">and for 2021-22 </w:t>
      </w:r>
      <w:r>
        <w:t xml:space="preserve">based upon the list of items considered at the Board’s meeting on </w:t>
      </w:r>
      <w:r w:rsidR="00DE2CEC">
        <w:t>17 September</w:t>
      </w:r>
      <w:r>
        <w:t xml:space="preserve"> 2020 is </w:t>
      </w:r>
      <w:r w:rsidR="00DE2CEC">
        <w:t>shown in the table below</w:t>
      </w:r>
      <w:r w:rsidR="00414E36">
        <w:t xml:space="preserve">. </w:t>
      </w:r>
    </w:p>
    <w:p w14:paraId="77488A38" w14:textId="6B1824F4" w:rsidR="00A1511A" w:rsidRDefault="00A1511A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634"/>
      </w:tblGrid>
      <w:tr w:rsidR="002D3381" w14:paraId="2E05303C" w14:textId="77777777" w:rsidTr="000A6D23">
        <w:tc>
          <w:tcPr>
            <w:tcW w:w="4263" w:type="dxa"/>
            <w:shd w:val="clear" w:color="auto" w:fill="auto"/>
          </w:tcPr>
          <w:p w14:paraId="48C98F4C" w14:textId="51FE9027" w:rsidR="002D3381" w:rsidRPr="00B57D75" w:rsidRDefault="002D3381" w:rsidP="00A1511A">
            <w:pPr>
              <w:spacing w:before="240"/>
              <w:jc w:val="center"/>
              <w:rPr>
                <w:b/>
              </w:rPr>
            </w:pPr>
            <w:r w:rsidRPr="00B57D75">
              <w:rPr>
                <w:b/>
              </w:rPr>
              <w:lastRenderedPageBreak/>
              <w:t>Matter for Consideration</w:t>
            </w:r>
          </w:p>
        </w:tc>
        <w:tc>
          <w:tcPr>
            <w:tcW w:w="4634" w:type="dxa"/>
            <w:shd w:val="clear" w:color="auto" w:fill="auto"/>
          </w:tcPr>
          <w:p w14:paraId="33DC85C9" w14:textId="77777777" w:rsidR="002D3381" w:rsidRPr="00B57D75" w:rsidRDefault="002D3381" w:rsidP="00A1511A">
            <w:pPr>
              <w:spacing w:before="240"/>
              <w:jc w:val="center"/>
              <w:rPr>
                <w:b/>
              </w:rPr>
            </w:pPr>
            <w:r w:rsidRPr="00B57D75">
              <w:rPr>
                <w:b/>
              </w:rPr>
              <w:t xml:space="preserve">Board </w:t>
            </w:r>
            <w:r>
              <w:rPr>
                <w:b/>
              </w:rPr>
              <w:t>Meeting</w:t>
            </w:r>
          </w:p>
        </w:tc>
      </w:tr>
      <w:tr w:rsidR="00DE2CEC" w14:paraId="52076301" w14:textId="77777777" w:rsidTr="008F781A">
        <w:tc>
          <w:tcPr>
            <w:tcW w:w="8897" w:type="dxa"/>
            <w:gridSpan w:val="2"/>
            <w:shd w:val="clear" w:color="auto" w:fill="auto"/>
          </w:tcPr>
          <w:p w14:paraId="666F2C67" w14:textId="47C756E0" w:rsidR="00DE2CEC" w:rsidRDefault="00DE2CEC" w:rsidP="000A6D23">
            <w:pPr>
              <w:jc w:val="both"/>
            </w:pPr>
            <w:r w:rsidRPr="00DE2CEC">
              <w:rPr>
                <w:b/>
                <w:bCs/>
              </w:rPr>
              <w:t xml:space="preserve">Items for consideration at each meeting </w:t>
            </w:r>
            <w:r w:rsidR="00967BC7">
              <w:rPr>
                <w:b/>
                <w:bCs/>
              </w:rPr>
              <w:t>(all years)</w:t>
            </w:r>
          </w:p>
        </w:tc>
      </w:tr>
      <w:tr w:rsidR="002D3381" w14:paraId="265C678E" w14:textId="77777777" w:rsidTr="000A6D23">
        <w:tc>
          <w:tcPr>
            <w:tcW w:w="4263" w:type="dxa"/>
            <w:shd w:val="clear" w:color="auto" w:fill="auto"/>
          </w:tcPr>
          <w:p w14:paraId="18183AD3" w14:textId="77777777" w:rsidR="002D3381" w:rsidRDefault="002D3381" w:rsidP="00A1511A">
            <w:r>
              <w:t>Pensions Administration – Performance monitoring</w:t>
            </w:r>
          </w:p>
        </w:tc>
        <w:tc>
          <w:tcPr>
            <w:tcW w:w="4634" w:type="dxa"/>
            <w:shd w:val="clear" w:color="auto" w:fill="auto"/>
          </w:tcPr>
          <w:p w14:paraId="74958000" w14:textId="1609E7D9" w:rsidR="002D3381" w:rsidRDefault="002D3381" w:rsidP="00A1511A">
            <w:r>
              <w:t xml:space="preserve">Quarterly report </w:t>
            </w:r>
          </w:p>
        </w:tc>
      </w:tr>
      <w:tr w:rsidR="002D3381" w14:paraId="147A1DB1" w14:textId="77777777" w:rsidTr="000A6D23">
        <w:tc>
          <w:tcPr>
            <w:tcW w:w="4263" w:type="dxa"/>
            <w:shd w:val="clear" w:color="auto" w:fill="auto"/>
          </w:tcPr>
          <w:p w14:paraId="41FD6743" w14:textId="77777777" w:rsidR="002D3381" w:rsidRDefault="002D3381" w:rsidP="00A1511A">
            <w:r>
              <w:t xml:space="preserve">Pension Fund Dashboard including Long term cashflow and funding </w:t>
            </w:r>
          </w:p>
        </w:tc>
        <w:tc>
          <w:tcPr>
            <w:tcW w:w="4634" w:type="dxa"/>
            <w:shd w:val="clear" w:color="auto" w:fill="auto"/>
          </w:tcPr>
          <w:p w14:paraId="316F436B" w14:textId="1138B91C" w:rsidR="002D3381" w:rsidRDefault="00DE2CEC" w:rsidP="00A1511A">
            <w:r>
              <w:t xml:space="preserve">Quarterly report - </w:t>
            </w:r>
            <w:r w:rsidR="002D3381">
              <w:t>Considered in review of PF</w:t>
            </w:r>
            <w:r>
              <w:t xml:space="preserve"> </w:t>
            </w:r>
            <w:r w:rsidR="002D3381">
              <w:t>C</w:t>
            </w:r>
            <w:r>
              <w:t>ommittee</w:t>
            </w:r>
            <w:r w:rsidR="002D3381">
              <w:t xml:space="preserve"> minutes quarterly</w:t>
            </w:r>
          </w:p>
        </w:tc>
      </w:tr>
      <w:tr w:rsidR="002D3381" w14:paraId="781B0247" w14:textId="77777777" w:rsidTr="000A6D23">
        <w:tc>
          <w:tcPr>
            <w:tcW w:w="4263" w:type="dxa"/>
            <w:shd w:val="clear" w:color="auto" w:fill="auto"/>
          </w:tcPr>
          <w:p w14:paraId="2BD1BD29" w14:textId="77777777" w:rsidR="002D3381" w:rsidRDefault="002D3381" w:rsidP="00A1511A">
            <w:r>
              <w:t>Latest Pension Fund Committee Meeting Summary of Reports</w:t>
            </w:r>
          </w:p>
        </w:tc>
        <w:tc>
          <w:tcPr>
            <w:tcW w:w="4634" w:type="dxa"/>
            <w:shd w:val="clear" w:color="auto" w:fill="auto"/>
          </w:tcPr>
          <w:p w14:paraId="012B6053" w14:textId="2B51CF65" w:rsidR="002D3381" w:rsidRDefault="00DE2CEC" w:rsidP="00A1511A">
            <w:r>
              <w:t>Quarterly report</w:t>
            </w:r>
          </w:p>
        </w:tc>
      </w:tr>
      <w:tr w:rsidR="00DE2CEC" w14:paraId="30A59B6D" w14:textId="77777777" w:rsidTr="000A6D23">
        <w:tc>
          <w:tcPr>
            <w:tcW w:w="4263" w:type="dxa"/>
            <w:shd w:val="clear" w:color="auto" w:fill="auto"/>
          </w:tcPr>
          <w:p w14:paraId="6F7DB32A" w14:textId="0DE131D6" w:rsidR="00DE2CEC" w:rsidRPr="00DE2CEC" w:rsidRDefault="00DE2CEC" w:rsidP="000A6D23">
            <w:pPr>
              <w:jc w:val="both"/>
              <w:rPr>
                <w:b/>
                <w:bCs/>
              </w:rPr>
            </w:pPr>
            <w:r w:rsidRPr="00DE2CEC">
              <w:rPr>
                <w:b/>
                <w:bCs/>
              </w:rPr>
              <w:t xml:space="preserve">2020-21 </w:t>
            </w:r>
            <w:r>
              <w:rPr>
                <w:b/>
                <w:bCs/>
              </w:rPr>
              <w:t>I</w:t>
            </w:r>
            <w:r w:rsidRPr="00DE2CEC">
              <w:rPr>
                <w:b/>
                <w:bCs/>
              </w:rPr>
              <w:t>tems</w:t>
            </w:r>
          </w:p>
        </w:tc>
        <w:tc>
          <w:tcPr>
            <w:tcW w:w="4634" w:type="dxa"/>
            <w:shd w:val="clear" w:color="auto" w:fill="auto"/>
          </w:tcPr>
          <w:p w14:paraId="444F48B8" w14:textId="77777777" w:rsidR="00DE2CEC" w:rsidRDefault="00DE2CEC" w:rsidP="000A6D23">
            <w:pPr>
              <w:jc w:val="both"/>
            </w:pPr>
          </w:p>
        </w:tc>
      </w:tr>
      <w:tr w:rsidR="002D3381" w14:paraId="5D5A3F03" w14:textId="77777777" w:rsidTr="000A6D23">
        <w:tc>
          <w:tcPr>
            <w:tcW w:w="4263" w:type="dxa"/>
            <w:shd w:val="clear" w:color="auto" w:fill="auto"/>
          </w:tcPr>
          <w:p w14:paraId="48849AA9" w14:textId="2E23983C" w:rsidR="002D3381" w:rsidRPr="00D52E34" w:rsidRDefault="002D3381" w:rsidP="00A1511A">
            <w:r>
              <w:t>External Audit Plan - 2020-21 audit</w:t>
            </w:r>
          </w:p>
        </w:tc>
        <w:tc>
          <w:tcPr>
            <w:tcW w:w="4634" w:type="dxa"/>
            <w:shd w:val="clear" w:color="auto" w:fill="auto"/>
          </w:tcPr>
          <w:p w14:paraId="222E17F8" w14:textId="77777777" w:rsidR="002D3381" w:rsidRDefault="002D3381" w:rsidP="00A1511A">
            <w:r>
              <w:t>March 2021 meeting.</w:t>
            </w:r>
          </w:p>
        </w:tc>
      </w:tr>
      <w:tr w:rsidR="002D3381" w14:paraId="32FA8227" w14:textId="77777777" w:rsidTr="000A6D23">
        <w:tc>
          <w:tcPr>
            <w:tcW w:w="4263" w:type="dxa"/>
            <w:shd w:val="clear" w:color="auto" w:fill="auto"/>
          </w:tcPr>
          <w:p w14:paraId="61612E0E" w14:textId="77777777" w:rsidR="002D3381" w:rsidRDefault="002D3381" w:rsidP="00A1511A">
            <w:r>
              <w:t>Review of Governance Compliance Statement</w:t>
            </w:r>
          </w:p>
        </w:tc>
        <w:tc>
          <w:tcPr>
            <w:tcW w:w="4634" w:type="dxa"/>
            <w:shd w:val="clear" w:color="auto" w:fill="auto"/>
          </w:tcPr>
          <w:p w14:paraId="6830CB77" w14:textId="77777777" w:rsidR="002D3381" w:rsidRDefault="002D3381" w:rsidP="00A1511A">
            <w:r>
              <w:t>March 2021</w:t>
            </w:r>
          </w:p>
        </w:tc>
      </w:tr>
      <w:tr w:rsidR="002D3381" w14:paraId="7FC9684A" w14:textId="77777777" w:rsidTr="000A6D23">
        <w:tc>
          <w:tcPr>
            <w:tcW w:w="4263" w:type="dxa"/>
            <w:shd w:val="clear" w:color="auto" w:fill="auto"/>
          </w:tcPr>
          <w:p w14:paraId="4F5FD78D" w14:textId="77777777" w:rsidR="002D3381" w:rsidRDefault="002D3381" w:rsidP="00A1511A">
            <w:r>
              <w:t>Review of Communications Policy Statement</w:t>
            </w:r>
          </w:p>
        </w:tc>
        <w:tc>
          <w:tcPr>
            <w:tcW w:w="4634" w:type="dxa"/>
            <w:shd w:val="clear" w:color="auto" w:fill="auto"/>
          </w:tcPr>
          <w:p w14:paraId="2ADD1DB5" w14:textId="77777777" w:rsidR="002D3381" w:rsidRDefault="002D3381" w:rsidP="00A1511A">
            <w:r>
              <w:t>March 2021</w:t>
            </w:r>
          </w:p>
        </w:tc>
      </w:tr>
      <w:tr w:rsidR="00DE2CEC" w14:paraId="56444651" w14:textId="77777777" w:rsidTr="000A6D23">
        <w:tc>
          <w:tcPr>
            <w:tcW w:w="4263" w:type="dxa"/>
            <w:shd w:val="clear" w:color="auto" w:fill="auto"/>
          </w:tcPr>
          <w:p w14:paraId="439FADF2" w14:textId="49ECF8D1" w:rsidR="00DE2CEC" w:rsidRPr="00DE2CEC" w:rsidRDefault="00DE2CEC" w:rsidP="000A6D23">
            <w:pPr>
              <w:jc w:val="both"/>
              <w:rPr>
                <w:b/>
                <w:bCs/>
              </w:rPr>
            </w:pPr>
            <w:r w:rsidRPr="00DE2CEC">
              <w:rPr>
                <w:b/>
                <w:bCs/>
              </w:rPr>
              <w:t>2021-22 Items</w:t>
            </w:r>
          </w:p>
        </w:tc>
        <w:tc>
          <w:tcPr>
            <w:tcW w:w="4634" w:type="dxa"/>
            <w:shd w:val="clear" w:color="auto" w:fill="auto"/>
          </w:tcPr>
          <w:p w14:paraId="5FE10331" w14:textId="77777777" w:rsidR="00DE2CEC" w:rsidRDefault="00DE2CEC" w:rsidP="000A6D23"/>
        </w:tc>
      </w:tr>
      <w:tr w:rsidR="00DE2CEC" w14:paraId="53D4D506" w14:textId="77777777" w:rsidTr="000A6D23">
        <w:tc>
          <w:tcPr>
            <w:tcW w:w="4263" w:type="dxa"/>
            <w:shd w:val="clear" w:color="auto" w:fill="auto"/>
          </w:tcPr>
          <w:p w14:paraId="7F0EDCA0" w14:textId="5DD84723" w:rsidR="00DE2CEC" w:rsidRDefault="00DE2CEC" w:rsidP="00A1511A">
            <w:r w:rsidRPr="00D52E34">
              <w:t>Annual Report and Financial Statement</w:t>
            </w:r>
            <w:r>
              <w:t>s</w:t>
            </w:r>
            <w:r w:rsidRPr="00D52E34">
              <w:t xml:space="preserve"> for year ended 31 March 20</w:t>
            </w:r>
            <w:r>
              <w:t>21</w:t>
            </w:r>
          </w:p>
        </w:tc>
        <w:tc>
          <w:tcPr>
            <w:tcW w:w="4634" w:type="dxa"/>
            <w:shd w:val="clear" w:color="auto" w:fill="auto"/>
          </w:tcPr>
          <w:p w14:paraId="4D2DE3C7" w14:textId="77777777" w:rsidR="00DE2CEC" w:rsidRDefault="00DE2CEC" w:rsidP="00A1511A">
            <w:r>
              <w:t>Draft Report - June 2021 meeting</w:t>
            </w:r>
          </w:p>
          <w:p w14:paraId="7832E700" w14:textId="74882FDE" w:rsidR="00DE2CEC" w:rsidRDefault="00DE2CEC" w:rsidP="00A1511A">
            <w:r>
              <w:t>External Audit Report - September 2021 Meeting</w:t>
            </w:r>
          </w:p>
        </w:tc>
      </w:tr>
      <w:tr w:rsidR="00DE2CEC" w14:paraId="37EF5F35" w14:textId="77777777" w:rsidTr="000A6D23">
        <w:tc>
          <w:tcPr>
            <w:tcW w:w="4263" w:type="dxa"/>
            <w:shd w:val="clear" w:color="auto" w:fill="auto"/>
          </w:tcPr>
          <w:p w14:paraId="3AFC217D" w14:textId="0A459523" w:rsidR="00DE2CEC" w:rsidRDefault="00DE2CEC" w:rsidP="00A1511A">
            <w:r>
              <w:t xml:space="preserve">Pension Fund </w:t>
            </w:r>
            <w:r w:rsidRPr="005669BA">
              <w:t>Risk Register</w:t>
            </w:r>
            <w:r>
              <w:t xml:space="preserve"> Review</w:t>
            </w:r>
          </w:p>
        </w:tc>
        <w:tc>
          <w:tcPr>
            <w:tcW w:w="4634" w:type="dxa"/>
            <w:shd w:val="clear" w:color="auto" w:fill="auto"/>
          </w:tcPr>
          <w:p w14:paraId="2A77270C" w14:textId="77777777" w:rsidR="00DE2CEC" w:rsidRDefault="00DE2CEC" w:rsidP="00A1511A">
            <w:r>
              <w:t>June 2021</w:t>
            </w:r>
          </w:p>
          <w:p w14:paraId="759D8B21" w14:textId="77777777" w:rsidR="00DE2CEC" w:rsidRDefault="00DE2CEC" w:rsidP="00A1511A"/>
        </w:tc>
      </w:tr>
    </w:tbl>
    <w:p w14:paraId="6CB2E048" w14:textId="77777777" w:rsidR="002D3381" w:rsidRDefault="002D3381" w:rsidP="002D3381">
      <w:pPr>
        <w:jc w:val="both"/>
        <w:rPr>
          <w:b/>
          <w:szCs w:val="24"/>
        </w:rPr>
      </w:pPr>
    </w:p>
    <w:p w14:paraId="25531EAC" w14:textId="77777777" w:rsidR="002D3381" w:rsidRDefault="002D3381" w:rsidP="002D3381">
      <w:pPr>
        <w:ind w:firstLine="720"/>
        <w:jc w:val="both"/>
        <w:rPr>
          <w:b/>
        </w:rPr>
      </w:pPr>
      <w:r>
        <w:rPr>
          <w:b/>
        </w:rPr>
        <w:t xml:space="preserve">Scheduled </w:t>
      </w:r>
      <w:r w:rsidRPr="00E0175F">
        <w:rPr>
          <w:b/>
        </w:rPr>
        <w:t>Pension Board Meetings 20</w:t>
      </w:r>
      <w:r>
        <w:rPr>
          <w:b/>
        </w:rPr>
        <w:t xml:space="preserve">20-21 </w:t>
      </w:r>
    </w:p>
    <w:p w14:paraId="00CC7159" w14:textId="77777777" w:rsidR="002D3381" w:rsidRDefault="002D3381" w:rsidP="002D3381">
      <w:pPr>
        <w:jc w:val="both"/>
      </w:pPr>
    </w:p>
    <w:p w14:paraId="2F7E79A9" w14:textId="77777777" w:rsidR="002D3381" w:rsidRPr="00C93E10" w:rsidRDefault="002D3381" w:rsidP="002D3381">
      <w:pPr>
        <w:ind w:firstLine="720"/>
        <w:jc w:val="both"/>
        <w:rPr>
          <w:szCs w:val="24"/>
        </w:rPr>
      </w:pPr>
      <w:r>
        <w:rPr>
          <w:szCs w:val="24"/>
        </w:rPr>
        <w:t>4 March 2021</w:t>
      </w:r>
    </w:p>
    <w:p w14:paraId="220E05EA" w14:textId="77777777" w:rsidR="002D3381" w:rsidRDefault="002D3381" w:rsidP="002D3381">
      <w:pPr>
        <w:jc w:val="both"/>
        <w:rPr>
          <w:b/>
          <w:szCs w:val="24"/>
        </w:rPr>
      </w:pPr>
    </w:p>
    <w:p w14:paraId="0F059A5B" w14:textId="39CA040B" w:rsidR="002D3381" w:rsidRPr="00723CD5" w:rsidRDefault="002D3381" w:rsidP="00A1511A">
      <w:pPr>
        <w:ind w:left="720"/>
        <w:rPr>
          <w:b/>
          <w:szCs w:val="24"/>
        </w:rPr>
      </w:pPr>
      <w:r w:rsidRPr="00723CD5">
        <w:rPr>
          <w:b/>
          <w:szCs w:val="24"/>
        </w:rPr>
        <w:t>Pension Fund Committee</w:t>
      </w:r>
      <w:r>
        <w:rPr>
          <w:b/>
          <w:szCs w:val="24"/>
        </w:rPr>
        <w:t xml:space="preserve"> meetings</w:t>
      </w:r>
      <w:r w:rsidRPr="00723CD5">
        <w:rPr>
          <w:b/>
          <w:szCs w:val="24"/>
        </w:rPr>
        <w:t xml:space="preserve"> </w:t>
      </w:r>
      <w:r>
        <w:rPr>
          <w:b/>
          <w:szCs w:val="24"/>
        </w:rPr>
        <w:t>2021-22 (dates to be confirmed)</w:t>
      </w:r>
    </w:p>
    <w:p w14:paraId="64FF5F50" w14:textId="77777777" w:rsidR="002D3381" w:rsidRDefault="002D3381" w:rsidP="002D3381">
      <w:pPr>
        <w:ind w:firstLine="720"/>
        <w:jc w:val="both"/>
        <w:rPr>
          <w:szCs w:val="24"/>
        </w:rPr>
      </w:pPr>
      <w:r w:rsidRPr="00FC105D">
        <w:rPr>
          <w:szCs w:val="24"/>
        </w:rPr>
        <w:t>June 20</w:t>
      </w:r>
      <w:r>
        <w:rPr>
          <w:szCs w:val="24"/>
        </w:rPr>
        <w:t>21</w:t>
      </w:r>
    </w:p>
    <w:p w14:paraId="33F85A21" w14:textId="77777777" w:rsidR="002D3381" w:rsidRPr="00FC105D" w:rsidRDefault="002D3381" w:rsidP="002D3381">
      <w:pPr>
        <w:ind w:firstLine="720"/>
        <w:jc w:val="both"/>
        <w:rPr>
          <w:szCs w:val="24"/>
        </w:rPr>
      </w:pPr>
      <w:r w:rsidRPr="00FC105D">
        <w:rPr>
          <w:szCs w:val="24"/>
        </w:rPr>
        <w:t>September 20</w:t>
      </w:r>
      <w:r>
        <w:rPr>
          <w:szCs w:val="24"/>
        </w:rPr>
        <w:t>21</w:t>
      </w:r>
      <w:r w:rsidRPr="00FC105D">
        <w:rPr>
          <w:szCs w:val="24"/>
        </w:rPr>
        <w:t xml:space="preserve"> </w:t>
      </w:r>
    </w:p>
    <w:p w14:paraId="59A66433" w14:textId="77777777" w:rsidR="002D3381" w:rsidRPr="00FC105D" w:rsidRDefault="002D3381" w:rsidP="002D3381">
      <w:pPr>
        <w:ind w:firstLine="720"/>
        <w:jc w:val="both"/>
        <w:rPr>
          <w:szCs w:val="24"/>
        </w:rPr>
      </w:pPr>
      <w:r>
        <w:rPr>
          <w:szCs w:val="24"/>
        </w:rPr>
        <w:t xml:space="preserve">Late </w:t>
      </w:r>
      <w:r w:rsidRPr="00FC105D">
        <w:rPr>
          <w:szCs w:val="24"/>
        </w:rPr>
        <w:t xml:space="preserve">November </w:t>
      </w:r>
      <w:r>
        <w:rPr>
          <w:szCs w:val="24"/>
        </w:rPr>
        <w:t>or early December 2021</w:t>
      </w:r>
    </w:p>
    <w:p w14:paraId="465D72FC" w14:textId="4CC32C5B" w:rsidR="00A61BB7" w:rsidRPr="00D16A42" w:rsidRDefault="002D3381" w:rsidP="002D3381">
      <w:pPr>
        <w:pStyle w:val="ListParagraph"/>
        <w:rPr>
          <w:b/>
          <w:bCs/>
          <w:color w:val="0000FF"/>
          <w:sz w:val="24"/>
          <w:szCs w:val="24"/>
          <w:u w:val="single"/>
        </w:rPr>
      </w:pPr>
      <w:r w:rsidRPr="00FC105D">
        <w:rPr>
          <w:szCs w:val="24"/>
        </w:rPr>
        <w:t>March 20</w:t>
      </w:r>
      <w:r>
        <w:rPr>
          <w:szCs w:val="24"/>
        </w:rPr>
        <w:t>22</w:t>
      </w:r>
      <w:r w:rsidR="00D16A42">
        <w:rPr>
          <w:color w:val="auto"/>
          <w:sz w:val="24"/>
          <w:szCs w:val="24"/>
        </w:rPr>
        <w:t xml:space="preserve">. </w:t>
      </w:r>
    </w:p>
    <w:p w14:paraId="5DDD3787" w14:textId="77777777" w:rsidR="008658CB" w:rsidRDefault="008658CB" w:rsidP="008658CB">
      <w:pPr>
        <w:pStyle w:val="Heading2"/>
      </w:pPr>
      <w:r>
        <w:t>Legal Implications</w:t>
      </w:r>
    </w:p>
    <w:p w14:paraId="64ACA4D3" w14:textId="4E3C290A" w:rsidR="008658CB" w:rsidRPr="008658CB" w:rsidRDefault="008658CB" w:rsidP="008658CB">
      <w:pPr>
        <w:pStyle w:val="ListParagraph"/>
        <w:rPr>
          <w:b/>
          <w:bCs/>
          <w:color w:val="0000FF"/>
          <w:sz w:val="24"/>
          <w:szCs w:val="24"/>
        </w:rPr>
      </w:pPr>
    </w:p>
    <w:p w14:paraId="4D1411B2" w14:textId="1BFF718D" w:rsidR="008658CB" w:rsidRPr="008658CB" w:rsidRDefault="008658CB" w:rsidP="008658CB">
      <w:pPr>
        <w:pStyle w:val="ListParagraph"/>
        <w:numPr>
          <w:ilvl w:val="0"/>
          <w:numId w:val="16"/>
        </w:numPr>
        <w:rPr>
          <w:b/>
          <w:bCs/>
          <w:color w:val="0000FF"/>
          <w:sz w:val="24"/>
          <w:szCs w:val="24"/>
        </w:rPr>
      </w:pPr>
      <w:r w:rsidRPr="008658CB">
        <w:rPr>
          <w:sz w:val="24"/>
          <w:szCs w:val="24"/>
        </w:rPr>
        <w:t xml:space="preserve">There are no </w:t>
      </w:r>
      <w:r w:rsidR="00411E6E">
        <w:rPr>
          <w:sz w:val="24"/>
          <w:szCs w:val="24"/>
        </w:rPr>
        <w:t xml:space="preserve">direct </w:t>
      </w:r>
      <w:r w:rsidRPr="008658CB">
        <w:rPr>
          <w:sz w:val="24"/>
          <w:szCs w:val="24"/>
        </w:rPr>
        <w:t>legal implications arising from this report.</w:t>
      </w:r>
    </w:p>
    <w:p w14:paraId="44EB884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6EB8D34B" w14:textId="2B08533B" w:rsidR="008658CB" w:rsidRPr="00411E6E" w:rsidRDefault="008658CB" w:rsidP="008658C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11E6E">
        <w:rPr>
          <w:sz w:val="24"/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66A82D3B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59A4B19" w14:textId="3D373974" w:rsidR="00213BE7" w:rsidRPr="00DE2CEC" w:rsidRDefault="002D3381" w:rsidP="00213BE7">
      <w:pPr>
        <w:pStyle w:val="infotext0"/>
        <w:numPr>
          <w:ilvl w:val="0"/>
          <w:numId w:val="16"/>
        </w:numPr>
        <w:spacing w:before="0" w:beforeAutospacing="0" w:after="0" w:afterAutospacing="0"/>
        <w:ind w:right="81"/>
        <w:rPr>
          <w:i/>
          <w:iCs/>
          <w:color w:val="0000FF"/>
        </w:rPr>
      </w:pPr>
      <w:r w:rsidRPr="00DE2CEC">
        <w:rPr>
          <w:rFonts w:ascii="Arial" w:hAnsi="Arial" w:cs="Arial"/>
        </w:rPr>
        <w:t>There are no specific risk management implications arising from this report. The Pension Fund’s Risk Register is reviewed elsewhere on this agenda.</w:t>
      </w:r>
      <w:r w:rsidR="008658CB" w:rsidRPr="00DE2CEC">
        <w:rPr>
          <w:rFonts w:ascii="Arial" w:hAnsi="Arial" w:cs="Arial"/>
        </w:rPr>
        <w:t xml:space="preserve"> </w:t>
      </w:r>
    </w:p>
    <w:p w14:paraId="7B3FC99B" w14:textId="77777777" w:rsidR="00FD31A0" w:rsidRDefault="00FD31A0" w:rsidP="003D2FFE">
      <w:pPr>
        <w:pStyle w:val="Heading2"/>
        <w:keepNext/>
        <w:spacing w:after="240"/>
      </w:pPr>
      <w:r w:rsidRPr="004A2543">
        <w:lastRenderedPageBreak/>
        <w:t>Equalities implications</w:t>
      </w:r>
      <w:r w:rsidR="00213BE7">
        <w:t xml:space="preserve"> / Public Sector Equality Duty </w:t>
      </w:r>
    </w:p>
    <w:p w14:paraId="2F807F4E" w14:textId="6FA0A455" w:rsidR="00290D52" w:rsidRPr="002D3381" w:rsidRDefault="00FD31A0" w:rsidP="00A175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D3381">
        <w:rPr>
          <w:sz w:val="24"/>
          <w:szCs w:val="24"/>
        </w:rPr>
        <w:t>Was an Equality Impact Assessment carried out?  No</w:t>
      </w:r>
    </w:p>
    <w:p w14:paraId="00CD3849" w14:textId="77777777" w:rsidR="00290D52" w:rsidRPr="002D3381" w:rsidRDefault="00290D52" w:rsidP="00290D52">
      <w:pPr>
        <w:pStyle w:val="ListParagraph"/>
        <w:rPr>
          <w:sz w:val="24"/>
          <w:szCs w:val="24"/>
        </w:rPr>
      </w:pPr>
    </w:p>
    <w:p w14:paraId="7F1944C7" w14:textId="14738324" w:rsidR="00FD31A0" w:rsidRPr="002D3381" w:rsidRDefault="00FD31A0" w:rsidP="00290D5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D3381">
        <w:rPr>
          <w:sz w:val="24"/>
          <w:szCs w:val="24"/>
        </w:rPr>
        <w:t xml:space="preserve"> </w:t>
      </w:r>
      <w:r w:rsidR="00A175BD" w:rsidRPr="002D3381">
        <w:rPr>
          <w:sz w:val="24"/>
          <w:szCs w:val="24"/>
        </w:rPr>
        <w:t xml:space="preserve">There are no direct equalities implications arising from this report. </w:t>
      </w:r>
    </w:p>
    <w:p w14:paraId="44F55C42" w14:textId="77777777" w:rsidR="004B4A47" w:rsidRPr="00CD57D8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13E12D57" w14:textId="3821CE34" w:rsidR="00EF2F91" w:rsidRPr="00A175BD" w:rsidRDefault="00A175BD" w:rsidP="00A175BD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>The performance of the Pension Fund directly affects the level of employer contribution which then, in turn, affects the resources available for the Council’s priorities</w:t>
      </w:r>
      <w:r w:rsidR="00EF2F91" w:rsidRPr="00A175BD">
        <w:rPr>
          <w:sz w:val="24"/>
          <w:szCs w:val="24"/>
          <w:lang w:val="en-US"/>
        </w:rPr>
        <w:t xml:space="preserve">. </w:t>
      </w:r>
    </w:p>
    <w:p w14:paraId="40952285" w14:textId="77777777" w:rsidR="00EF2F91" w:rsidRPr="00400032" w:rsidRDefault="00EF2F91" w:rsidP="00EF2F91"/>
    <w:p w14:paraId="2DA0FC28" w14:textId="77777777" w:rsidR="002A2389" w:rsidRDefault="002A2389" w:rsidP="00912904">
      <w:pPr>
        <w:pStyle w:val="Heading2"/>
      </w:pPr>
      <w:r>
        <w:t>Section 3 - Statutory Officer Clearance</w:t>
      </w:r>
    </w:p>
    <w:p w14:paraId="6C41FB87" w14:textId="77777777" w:rsidR="002A2389" w:rsidRDefault="002A2389" w:rsidP="008D1750">
      <w:pPr>
        <w:keepNext/>
        <w:rPr>
          <w:rFonts w:cs="Arial"/>
        </w:rPr>
      </w:pPr>
    </w:p>
    <w:p w14:paraId="3A5B6BE5" w14:textId="3389DE0D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967BC7">
        <w:rPr>
          <w:b/>
          <w:sz w:val="28"/>
        </w:rPr>
        <w:t>Dawn Calvert</w:t>
      </w:r>
    </w:p>
    <w:p w14:paraId="604701C9" w14:textId="43796939" w:rsidR="00912904" w:rsidRPr="00A66326" w:rsidRDefault="00912904" w:rsidP="00912904">
      <w:r w:rsidRPr="00A66326">
        <w:t>Signed by the Chief Financial Officer</w:t>
      </w:r>
    </w:p>
    <w:p w14:paraId="71343773" w14:textId="2B3544AB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67BC7">
        <w:rPr>
          <w:b/>
          <w:sz w:val="28"/>
        </w:rPr>
        <w:t>19 November 2020</w:t>
      </w:r>
    </w:p>
    <w:p w14:paraId="7B402CA3" w14:textId="67A50B0F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53B83">
        <w:rPr>
          <w:b/>
          <w:sz w:val="28"/>
        </w:rPr>
        <w:t xml:space="preserve">David Hodge </w:t>
      </w:r>
    </w:p>
    <w:p w14:paraId="67FD5EC6" w14:textId="4BAEDAFB" w:rsidR="00912904" w:rsidRPr="00A66326" w:rsidRDefault="00912904" w:rsidP="00912904">
      <w:r w:rsidRPr="00A66326">
        <w:t>Signed on behalf of the Monitoring Officer</w:t>
      </w:r>
    </w:p>
    <w:p w14:paraId="599ECFC9" w14:textId="1BF0140F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53B83">
        <w:rPr>
          <w:b/>
          <w:sz w:val="28"/>
        </w:rPr>
        <w:t>17 November 2020</w:t>
      </w:r>
    </w:p>
    <w:p w14:paraId="3C9645DC" w14:textId="5C2A5CF5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53B83">
        <w:rPr>
          <w:b/>
          <w:sz w:val="28"/>
        </w:rPr>
        <w:t>Charlie Stewart</w:t>
      </w:r>
    </w:p>
    <w:p w14:paraId="6C02DBB7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4624AD42" w14:textId="5292FC2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53B83">
        <w:rPr>
          <w:b/>
          <w:sz w:val="28"/>
        </w:rPr>
        <w:t>17 November 2020</w:t>
      </w:r>
    </w:p>
    <w:p w14:paraId="08178E5A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0ABCD037" w14:textId="7AE4E110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>Ward Councillors notified:  NO</w:t>
      </w:r>
    </w:p>
    <w:p w14:paraId="120A0EC6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699E95B" w14:textId="77777777" w:rsidR="00A175BD" w:rsidRPr="00A175BD" w:rsidRDefault="002A2389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A175BD" w:rsidRPr="00A175BD">
        <w:rPr>
          <w:sz w:val="24"/>
          <w:szCs w:val="24"/>
        </w:rPr>
        <w:t>Jeremy Randall – Interim Pensions Consultant</w:t>
      </w:r>
    </w:p>
    <w:p w14:paraId="26E575A2" w14:textId="63C9FAFF" w:rsidR="002A2389" w:rsidRPr="00A175BD" w:rsidRDefault="00A175BD">
      <w:pPr>
        <w:pStyle w:val="Infotext"/>
        <w:rPr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tooltip="email jeremy.randall@harrow.gov.uk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6FE4CF01" w14:textId="5C600DF8" w:rsidR="002A2389" w:rsidRDefault="002A2389" w:rsidP="00A1511A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A175BD" w:rsidRPr="00A175BD">
        <w:rPr>
          <w:sz w:val="24"/>
          <w:szCs w:val="24"/>
        </w:rPr>
        <w:t>None</w:t>
      </w:r>
      <w:r w:rsidR="00A175BD">
        <w:t xml:space="preserve"> </w:t>
      </w:r>
      <w:bookmarkStart w:id="0" w:name="_GoBack"/>
      <w:bookmarkEnd w:id="0"/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226D" w14:textId="77777777" w:rsidR="00E609EF" w:rsidRDefault="00E609EF">
      <w:r>
        <w:separator/>
      </w:r>
    </w:p>
  </w:endnote>
  <w:endnote w:type="continuationSeparator" w:id="0">
    <w:p w14:paraId="7F724BC6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0C3A" w14:textId="77777777" w:rsidR="00E609EF" w:rsidRDefault="00E609EF">
      <w:r>
        <w:separator/>
      </w:r>
    </w:p>
  </w:footnote>
  <w:footnote w:type="continuationSeparator" w:id="0">
    <w:p w14:paraId="228C3583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A1A"/>
    <w:multiLevelType w:val="hybridMultilevel"/>
    <w:tmpl w:val="5BA4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13A3"/>
    <w:multiLevelType w:val="multilevel"/>
    <w:tmpl w:val="5018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662"/>
    <w:multiLevelType w:val="hybridMultilevel"/>
    <w:tmpl w:val="BDAA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1A49"/>
    <w:multiLevelType w:val="hybridMultilevel"/>
    <w:tmpl w:val="113A4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D335A"/>
    <w:multiLevelType w:val="hybridMultilevel"/>
    <w:tmpl w:val="C1D8F5DA"/>
    <w:lvl w:ilvl="0" w:tplc="F6CA43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FF43A2F"/>
    <w:multiLevelType w:val="hybridMultilevel"/>
    <w:tmpl w:val="3092A090"/>
    <w:lvl w:ilvl="0" w:tplc="FE1056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6BA5"/>
    <w:multiLevelType w:val="multilevel"/>
    <w:tmpl w:val="6AF4B00E"/>
    <w:lvl w:ilvl="0">
      <w:start w:val="6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16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3592C"/>
    <w:multiLevelType w:val="multilevel"/>
    <w:tmpl w:val="92B24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1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17"/>
  </w:num>
  <w:num w:numId="11">
    <w:abstractNumId w:val="21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  <w:num w:numId="20">
    <w:abstractNumId w:val="8"/>
  </w:num>
  <w:num w:numId="21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55376"/>
    <w:rsid w:val="001939BA"/>
    <w:rsid w:val="001A6EB0"/>
    <w:rsid w:val="001B441D"/>
    <w:rsid w:val="001C5225"/>
    <w:rsid w:val="001E0219"/>
    <w:rsid w:val="00213BE7"/>
    <w:rsid w:val="00231A1D"/>
    <w:rsid w:val="00244120"/>
    <w:rsid w:val="00290D52"/>
    <w:rsid w:val="00293F9F"/>
    <w:rsid w:val="002A2389"/>
    <w:rsid w:val="002C08E2"/>
    <w:rsid w:val="002C1794"/>
    <w:rsid w:val="002D3381"/>
    <w:rsid w:val="002E6637"/>
    <w:rsid w:val="002E77E3"/>
    <w:rsid w:val="00332947"/>
    <w:rsid w:val="00333EB4"/>
    <w:rsid w:val="00345915"/>
    <w:rsid w:val="00353B83"/>
    <w:rsid w:val="00357E00"/>
    <w:rsid w:val="00362B80"/>
    <w:rsid w:val="00365D29"/>
    <w:rsid w:val="00374F22"/>
    <w:rsid w:val="003D2FFE"/>
    <w:rsid w:val="003D6B2E"/>
    <w:rsid w:val="00400032"/>
    <w:rsid w:val="00411E6E"/>
    <w:rsid w:val="00414E36"/>
    <w:rsid w:val="0042394B"/>
    <w:rsid w:val="004450AA"/>
    <w:rsid w:val="00473B08"/>
    <w:rsid w:val="00474B5F"/>
    <w:rsid w:val="00485E8D"/>
    <w:rsid w:val="004A3CE6"/>
    <w:rsid w:val="004B2C9D"/>
    <w:rsid w:val="004B4A47"/>
    <w:rsid w:val="004E667D"/>
    <w:rsid w:val="004E6AF9"/>
    <w:rsid w:val="005031DF"/>
    <w:rsid w:val="00571483"/>
    <w:rsid w:val="00576A04"/>
    <w:rsid w:val="00597314"/>
    <w:rsid w:val="005A61AF"/>
    <w:rsid w:val="005D0886"/>
    <w:rsid w:val="005E384D"/>
    <w:rsid w:val="005F2181"/>
    <w:rsid w:val="005F724B"/>
    <w:rsid w:val="00625DFF"/>
    <w:rsid w:val="0063072B"/>
    <w:rsid w:val="00655125"/>
    <w:rsid w:val="00662891"/>
    <w:rsid w:val="006628B7"/>
    <w:rsid w:val="00675FCB"/>
    <w:rsid w:val="006A693F"/>
    <w:rsid w:val="006C3914"/>
    <w:rsid w:val="006D3648"/>
    <w:rsid w:val="0074184E"/>
    <w:rsid w:val="00743829"/>
    <w:rsid w:val="00755F8D"/>
    <w:rsid w:val="00796503"/>
    <w:rsid w:val="007D20F8"/>
    <w:rsid w:val="007D2BDA"/>
    <w:rsid w:val="007D56C8"/>
    <w:rsid w:val="007D660F"/>
    <w:rsid w:val="007E3934"/>
    <w:rsid w:val="007E7303"/>
    <w:rsid w:val="00815521"/>
    <w:rsid w:val="008212A0"/>
    <w:rsid w:val="00837F53"/>
    <w:rsid w:val="008658CB"/>
    <w:rsid w:val="00883622"/>
    <w:rsid w:val="008D1750"/>
    <w:rsid w:val="008D7800"/>
    <w:rsid w:val="008E2910"/>
    <w:rsid w:val="008E4913"/>
    <w:rsid w:val="00900464"/>
    <w:rsid w:val="0090100E"/>
    <w:rsid w:val="00912904"/>
    <w:rsid w:val="0093767E"/>
    <w:rsid w:val="00967BC7"/>
    <w:rsid w:val="00972A02"/>
    <w:rsid w:val="0099517C"/>
    <w:rsid w:val="009A0937"/>
    <w:rsid w:val="009B2ECD"/>
    <w:rsid w:val="009B7914"/>
    <w:rsid w:val="009F430B"/>
    <w:rsid w:val="00A1511A"/>
    <w:rsid w:val="00A160B2"/>
    <w:rsid w:val="00A175BD"/>
    <w:rsid w:val="00A566E7"/>
    <w:rsid w:val="00A61BB7"/>
    <w:rsid w:val="00A65DA7"/>
    <w:rsid w:val="00A940D3"/>
    <w:rsid w:val="00A96FCA"/>
    <w:rsid w:val="00AA4BE8"/>
    <w:rsid w:val="00AC0AAB"/>
    <w:rsid w:val="00AC7BA9"/>
    <w:rsid w:val="00B0425E"/>
    <w:rsid w:val="00B900E2"/>
    <w:rsid w:val="00B9118E"/>
    <w:rsid w:val="00BB0887"/>
    <w:rsid w:val="00BD6115"/>
    <w:rsid w:val="00BD684A"/>
    <w:rsid w:val="00C266FE"/>
    <w:rsid w:val="00C32DAE"/>
    <w:rsid w:val="00C40E24"/>
    <w:rsid w:val="00C61B80"/>
    <w:rsid w:val="00C92D9A"/>
    <w:rsid w:val="00C96EF5"/>
    <w:rsid w:val="00CA3AB9"/>
    <w:rsid w:val="00CE6757"/>
    <w:rsid w:val="00D16A42"/>
    <w:rsid w:val="00D25064"/>
    <w:rsid w:val="00D32B51"/>
    <w:rsid w:val="00D34668"/>
    <w:rsid w:val="00D3740E"/>
    <w:rsid w:val="00D40335"/>
    <w:rsid w:val="00D8108C"/>
    <w:rsid w:val="00D82F57"/>
    <w:rsid w:val="00D841A5"/>
    <w:rsid w:val="00D914D2"/>
    <w:rsid w:val="00DA25DB"/>
    <w:rsid w:val="00DB0791"/>
    <w:rsid w:val="00DD4251"/>
    <w:rsid w:val="00DE2CEC"/>
    <w:rsid w:val="00E02B50"/>
    <w:rsid w:val="00E03F11"/>
    <w:rsid w:val="00E06DC8"/>
    <w:rsid w:val="00E220B5"/>
    <w:rsid w:val="00E33D93"/>
    <w:rsid w:val="00E60637"/>
    <w:rsid w:val="00E609EF"/>
    <w:rsid w:val="00E82FBD"/>
    <w:rsid w:val="00E8515B"/>
    <w:rsid w:val="00E90AFF"/>
    <w:rsid w:val="00EE1DBB"/>
    <w:rsid w:val="00EF2F91"/>
    <w:rsid w:val="00F33EE3"/>
    <w:rsid w:val="00F40FD8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B6C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0">
    <w:name w:val="Char Char Char Char Char Char Char Char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A61BB7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paragraph" w:customStyle="1" w:styleId="CharCharCharCharCharCharCharChar0">
    <w:name w:val="Char Char Char Char Char Char Char Char"/>
    <w:basedOn w:val="Normal"/>
    <w:rsid w:val="008658CB"/>
    <w:pPr>
      <w:spacing w:after="160" w:line="240" w:lineRule="exact"/>
    </w:pPr>
    <w:rPr>
      <w:rFonts w:ascii="Tahoma" w:hAnsi="Tahoma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5BD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A61BB7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3504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dharris</cp:lastModifiedBy>
  <cp:revision>10</cp:revision>
  <cp:lastPrinted>2007-07-12T09:53:00Z</cp:lastPrinted>
  <dcterms:created xsi:type="dcterms:W3CDTF">2020-11-05T15:58:00Z</dcterms:created>
  <dcterms:modified xsi:type="dcterms:W3CDTF">2020-11-24T14:16:00Z</dcterms:modified>
</cp:coreProperties>
</file>